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sz w:val="36"/>
          <w:szCs w:val="36"/>
        </w:rPr>
      </w:pPr>
      <w:r>
        <w:rPr>
          <w:rFonts w:hint="eastAsia" w:ascii="黑体" w:hAnsi="黑体" w:eastAsia="黑体" w:cs="黑体"/>
          <w:b/>
          <w:sz w:val="36"/>
          <w:szCs w:val="36"/>
        </w:rPr>
        <w:t>《</w:t>
      </w:r>
      <w:r>
        <w:rPr>
          <w:rFonts w:hint="eastAsia" w:ascii="黑体" w:hAnsi="黑体" w:eastAsia="黑体" w:cs="黑体"/>
          <w:b/>
          <w:sz w:val="36"/>
          <w:szCs w:val="36"/>
          <w:lang w:val="en-US" w:eastAsia="zh-CN"/>
        </w:rPr>
        <w:t>数码媒体</w:t>
      </w:r>
      <w:r>
        <w:rPr>
          <w:rFonts w:hint="eastAsia" w:ascii="黑体" w:hAnsi="黑体" w:eastAsia="黑体" w:cs="黑体"/>
          <w:b/>
          <w:sz w:val="36"/>
          <w:szCs w:val="36"/>
        </w:rPr>
        <w:t>设计规范与流程》课程线上教学方案</w:t>
      </w:r>
    </w:p>
    <w:p>
      <w:pPr>
        <w:spacing w:line="300" w:lineRule="auto"/>
        <w:ind w:firstLine="420" w:firstLineChars="200"/>
        <w:jc w:val="left"/>
        <w:rPr>
          <w:rFonts w:ascii="宋体" w:hAnsi="宋体"/>
        </w:rPr>
      </w:pPr>
    </w:p>
    <w:p>
      <w:pPr>
        <w:spacing w:line="300" w:lineRule="auto"/>
        <w:ind w:firstLine="640" w:firstLineChars="200"/>
        <w:jc w:val="left"/>
        <w:rPr>
          <w:rFonts w:ascii="仿宋" w:hAnsi="仿宋" w:eastAsia="仿宋"/>
          <w:sz w:val="32"/>
          <w:szCs w:val="32"/>
        </w:rPr>
      </w:pPr>
      <w:r>
        <w:rPr>
          <w:rFonts w:hint="eastAsia" w:ascii="仿宋" w:hAnsi="仿宋" w:eastAsia="仿宋"/>
          <w:sz w:val="32"/>
          <w:szCs w:val="32"/>
        </w:rPr>
        <w:t>为应对新型冠状病毒感染疫情，在春季学期开学时间进行调整的情况下，设计学院有效落实按照学校已发布《吉林动画学院关于推迟2020年春季开学时间的通知》有关要求和相关部署，结合设计学院</w:t>
      </w:r>
      <w:r>
        <w:rPr>
          <w:rFonts w:ascii="仿宋" w:hAnsi="仿宋" w:eastAsia="仿宋"/>
          <w:sz w:val="32"/>
          <w:szCs w:val="32"/>
        </w:rPr>
        <w:t>2019</w:t>
      </w:r>
      <w:r>
        <w:rPr>
          <w:rFonts w:hint="eastAsia" w:ascii="仿宋" w:hAnsi="仿宋" w:eastAsia="仿宋"/>
          <w:sz w:val="32"/>
          <w:szCs w:val="32"/>
        </w:rPr>
        <w:t>—</w:t>
      </w:r>
      <w:r>
        <w:rPr>
          <w:rFonts w:ascii="仿宋" w:hAnsi="仿宋" w:eastAsia="仿宋"/>
          <w:sz w:val="32"/>
          <w:szCs w:val="32"/>
        </w:rPr>
        <w:t>202</w:t>
      </w:r>
      <w:r>
        <w:rPr>
          <w:rFonts w:hint="eastAsia" w:ascii="仿宋" w:hAnsi="仿宋" w:eastAsia="仿宋"/>
          <w:sz w:val="32"/>
          <w:szCs w:val="32"/>
          <w:lang w:val="en-US" w:eastAsia="zh-CN"/>
        </w:rPr>
        <w:t>0</w:t>
      </w:r>
      <w:r>
        <w:rPr>
          <w:rFonts w:hint="eastAsia" w:ascii="仿宋" w:hAnsi="仿宋" w:eastAsia="仿宋"/>
          <w:sz w:val="32"/>
          <w:szCs w:val="32"/>
        </w:rPr>
        <w:t>学年第二学期教学实际，拟设计行之有效且符合</w:t>
      </w:r>
      <w:r>
        <w:rPr>
          <w:rFonts w:hint="eastAsia" w:ascii="仿宋" w:hAnsi="仿宋" w:eastAsia="仿宋"/>
          <w:sz w:val="32"/>
          <w:szCs w:val="32"/>
          <w:lang w:val="en-US" w:eastAsia="zh-CN"/>
        </w:rPr>
        <w:t>视觉传达设计</w:t>
      </w:r>
      <w:r>
        <w:rPr>
          <w:rFonts w:hint="eastAsia" w:ascii="仿宋" w:hAnsi="仿宋" w:eastAsia="仿宋"/>
          <w:sz w:val="32"/>
          <w:szCs w:val="32"/>
        </w:rPr>
        <w:t>专业教学规律及课程特点的线上教学形式，积极动员教师选择适配的教学平台、优选教学资源，搭建数字化学习空间，推进课程的信息化建设，并计划长期使用，具体线上教学方案如下：</w:t>
      </w:r>
    </w:p>
    <w:p>
      <w:pPr>
        <w:spacing w:line="300" w:lineRule="auto"/>
        <w:ind w:firstLine="643" w:firstLineChars="200"/>
        <w:jc w:val="left"/>
        <w:rPr>
          <w:rFonts w:ascii="黑体" w:hAnsi="黑体" w:eastAsia="黑体"/>
          <w:b/>
          <w:sz w:val="32"/>
          <w:szCs w:val="32"/>
        </w:rPr>
      </w:pPr>
      <w:r>
        <w:rPr>
          <w:rFonts w:hint="eastAsia" w:ascii="黑体" w:hAnsi="黑体" w:eastAsia="黑体"/>
          <w:b/>
          <w:sz w:val="32"/>
          <w:szCs w:val="32"/>
        </w:rPr>
        <w:t>一、教学安排：</w:t>
      </w:r>
    </w:p>
    <w:p>
      <w:pPr>
        <w:spacing w:line="300" w:lineRule="auto"/>
        <w:ind w:firstLine="640" w:firstLineChars="200"/>
        <w:jc w:val="left"/>
        <w:rPr>
          <w:rFonts w:ascii="仿宋" w:hAnsi="仿宋" w:eastAsia="仿宋"/>
          <w:sz w:val="32"/>
          <w:szCs w:val="32"/>
        </w:rPr>
      </w:pPr>
      <w:r>
        <w:rPr>
          <w:rFonts w:hint="eastAsia" w:ascii="仿宋" w:hAnsi="仿宋" w:eastAsia="仿宋"/>
          <w:sz w:val="32"/>
          <w:szCs w:val="32"/>
        </w:rPr>
        <w:t>根据推迟4周开学的教学工作安排预案制定设计学院工作方案，后续根据疫情调整教学安排，实行弹性教学运行机制。</w:t>
      </w:r>
    </w:p>
    <w:p>
      <w:pPr>
        <w:spacing w:line="300" w:lineRule="auto"/>
        <w:ind w:firstLine="643" w:firstLineChars="200"/>
        <w:jc w:val="left"/>
        <w:rPr>
          <w:rFonts w:ascii="仿宋" w:hAnsi="仿宋" w:eastAsia="仿宋"/>
          <w:sz w:val="32"/>
          <w:szCs w:val="32"/>
        </w:rPr>
      </w:pPr>
      <w:r>
        <w:rPr>
          <w:rFonts w:hint="eastAsia" w:ascii="楷体" w:hAnsi="楷体" w:eastAsia="楷体"/>
          <w:b/>
          <w:sz w:val="32"/>
          <w:szCs w:val="32"/>
        </w:rPr>
        <w:t>（一）课程组构成</w:t>
      </w:r>
    </w:p>
    <w:p>
      <w:pPr>
        <w:spacing w:line="300" w:lineRule="auto"/>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课程组长：</w:t>
      </w:r>
      <w:r>
        <w:rPr>
          <w:rFonts w:hint="eastAsia" w:ascii="仿宋" w:hAnsi="仿宋" w:eastAsia="仿宋"/>
          <w:sz w:val="32"/>
          <w:szCs w:val="32"/>
          <w:lang w:val="en-US" w:eastAsia="zh-CN"/>
        </w:rPr>
        <w:t>李耀扬</w:t>
      </w:r>
    </w:p>
    <w:p>
      <w:pPr>
        <w:spacing w:line="300" w:lineRule="auto"/>
        <w:ind w:firstLine="640" w:firstLineChars="200"/>
        <w:jc w:val="left"/>
        <w:rPr>
          <w:rFonts w:hint="eastAsia" w:ascii="仿宋" w:hAnsi="仿宋" w:eastAsia="仿宋"/>
          <w:sz w:val="32"/>
          <w:szCs w:val="32"/>
          <w:lang w:eastAsia="zh-CN"/>
        </w:rPr>
      </w:pPr>
      <w:r>
        <w:rPr>
          <w:rFonts w:hint="eastAsia" w:ascii="仿宋" w:hAnsi="仿宋" w:eastAsia="仿宋"/>
          <w:sz w:val="32"/>
          <w:szCs w:val="32"/>
        </w:rPr>
        <w:t>成员：</w:t>
      </w:r>
      <w:r>
        <w:rPr>
          <w:rFonts w:hint="eastAsia" w:ascii="仿宋" w:hAnsi="仿宋" w:eastAsia="仿宋"/>
          <w:sz w:val="32"/>
          <w:szCs w:val="32"/>
          <w:lang w:val="en-US" w:eastAsia="zh-CN"/>
        </w:rPr>
        <w:t>梅林峰</w:t>
      </w:r>
      <w:r>
        <w:rPr>
          <w:rFonts w:ascii="仿宋" w:hAnsi="仿宋" w:eastAsia="仿宋"/>
          <w:sz w:val="32"/>
          <w:szCs w:val="32"/>
        </w:rPr>
        <w:t>、</w:t>
      </w:r>
      <w:r>
        <w:rPr>
          <w:rFonts w:hint="eastAsia" w:ascii="仿宋" w:hAnsi="仿宋" w:eastAsia="仿宋"/>
          <w:sz w:val="32"/>
          <w:szCs w:val="32"/>
          <w:lang w:val="en-US" w:eastAsia="zh-CN"/>
        </w:rPr>
        <w:t>田立群</w:t>
      </w:r>
    </w:p>
    <w:tbl>
      <w:tblPr>
        <w:tblStyle w:val="4"/>
        <w:tblW w:w="827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78"/>
        <w:gridCol w:w="1177"/>
        <w:gridCol w:w="668"/>
        <w:gridCol w:w="1532"/>
        <w:gridCol w:w="1140"/>
        <w:gridCol w:w="1140"/>
        <w:gridCol w:w="11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276" w:type="dxa"/>
            <w:gridSpan w:val="7"/>
            <w:vAlign w:val="center"/>
          </w:tcPr>
          <w:p>
            <w:pPr>
              <w:spacing w:line="300" w:lineRule="auto"/>
              <w:jc w:val="center"/>
              <w:rPr>
                <w:rFonts w:ascii="宋体" w:hAnsi="宋体" w:cs="黑体"/>
                <w:b/>
                <w:sz w:val="24"/>
              </w:rPr>
            </w:pPr>
            <w:r>
              <w:rPr>
                <w:rFonts w:hint="eastAsia" w:ascii="宋体" w:hAnsi="宋体" w:cs="黑体"/>
                <w:b/>
                <w:sz w:val="24"/>
              </w:rPr>
              <w:t>《</w:t>
            </w:r>
            <w:r>
              <w:rPr>
                <w:rFonts w:hint="eastAsia" w:ascii="宋体" w:hAnsi="宋体" w:cs="黑体"/>
                <w:b/>
                <w:sz w:val="24"/>
                <w:lang w:val="en-US" w:eastAsia="zh-CN"/>
              </w:rPr>
              <w:t>数码媒体</w:t>
            </w:r>
            <w:r>
              <w:rPr>
                <w:rFonts w:hint="eastAsia" w:ascii="宋体" w:hAnsi="宋体" w:cs="黑体"/>
                <w:b/>
                <w:sz w:val="24"/>
              </w:rPr>
              <w:t>设计规范与流程》课程信息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478" w:type="dxa"/>
            <w:vAlign w:val="center"/>
          </w:tcPr>
          <w:p>
            <w:pPr>
              <w:spacing w:line="300" w:lineRule="auto"/>
              <w:jc w:val="center"/>
              <w:rPr>
                <w:rFonts w:ascii="宋体" w:hAnsi="宋体" w:cs="黑体"/>
                <w:b/>
                <w:sz w:val="24"/>
              </w:rPr>
            </w:pPr>
            <w:r>
              <w:rPr>
                <w:rFonts w:hint="eastAsia" w:ascii="宋体" w:hAnsi="宋体" w:cs="黑体"/>
                <w:b/>
                <w:sz w:val="24"/>
              </w:rPr>
              <w:t>课程性质/类别</w:t>
            </w:r>
          </w:p>
        </w:tc>
        <w:tc>
          <w:tcPr>
            <w:tcW w:w="1177" w:type="dxa"/>
            <w:vAlign w:val="center"/>
          </w:tcPr>
          <w:p>
            <w:pPr>
              <w:spacing w:line="300" w:lineRule="auto"/>
              <w:jc w:val="center"/>
              <w:rPr>
                <w:rFonts w:ascii="宋体" w:hAnsi="宋体" w:cs="黑体"/>
                <w:b/>
                <w:sz w:val="24"/>
              </w:rPr>
            </w:pPr>
            <w:r>
              <w:rPr>
                <w:rFonts w:hint="eastAsia" w:ascii="宋体" w:hAnsi="宋体" w:cs="黑体"/>
                <w:b/>
                <w:sz w:val="24"/>
              </w:rPr>
              <w:t>课程</w:t>
            </w:r>
          </w:p>
          <w:p>
            <w:pPr>
              <w:spacing w:line="300" w:lineRule="auto"/>
              <w:jc w:val="center"/>
              <w:rPr>
                <w:rFonts w:ascii="宋体" w:hAnsi="宋体" w:cs="黑体"/>
                <w:b/>
                <w:sz w:val="24"/>
              </w:rPr>
            </w:pPr>
            <w:r>
              <w:rPr>
                <w:rFonts w:hint="eastAsia" w:ascii="宋体" w:hAnsi="宋体" w:cs="黑体"/>
                <w:b/>
                <w:sz w:val="24"/>
              </w:rPr>
              <w:t>编码</w:t>
            </w:r>
          </w:p>
        </w:tc>
        <w:tc>
          <w:tcPr>
            <w:tcW w:w="668" w:type="dxa"/>
            <w:vAlign w:val="center"/>
          </w:tcPr>
          <w:p>
            <w:pPr>
              <w:spacing w:line="300" w:lineRule="auto"/>
              <w:jc w:val="center"/>
              <w:rPr>
                <w:rFonts w:ascii="宋体" w:hAnsi="宋体" w:cs="黑体"/>
                <w:b/>
                <w:sz w:val="24"/>
              </w:rPr>
            </w:pPr>
            <w:r>
              <w:rPr>
                <w:rFonts w:hint="eastAsia" w:ascii="宋体" w:hAnsi="宋体" w:cs="黑体"/>
                <w:b/>
                <w:sz w:val="24"/>
              </w:rPr>
              <w:t>年级</w:t>
            </w:r>
          </w:p>
        </w:tc>
        <w:tc>
          <w:tcPr>
            <w:tcW w:w="1532" w:type="dxa"/>
            <w:vAlign w:val="center"/>
          </w:tcPr>
          <w:p>
            <w:pPr>
              <w:spacing w:line="300" w:lineRule="auto"/>
              <w:jc w:val="center"/>
              <w:rPr>
                <w:rFonts w:ascii="宋体" w:hAnsi="宋体" w:cs="黑体"/>
                <w:b/>
                <w:sz w:val="24"/>
              </w:rPr>
            </w:pPr>
            <w:r>
              <w:rPr>
                <w:rFonts w:hint="eastAsia" w:ascii="宋体" w:hAnsi="宋体" w:cs="黑体"/>
                <w:b/>
                <w:sz w:val="24"/>
              </w:rPr>
              <w:t>专业（方向）</w:t>
            </w:r>
          </w:p>
        </w:tc>
        <w:tc>
          <w:tcPr>
            <w:tcW w:w="1140" w:type="dxa"/>
            <w:vAlign w:val="center"/>
          </w:tcPr>
          <w:p>
            <w:pPr>
              <w:spacing w:line="300" w:lineRule="auto"/>
              <w:jc w:val="center"/>
              <w:rPr>
                <w:rFonts w:ascii="宋体" w:hAnsi="宋体" w:cs="黑体"/>
                <w:b/>
                <w:sz w:val="24"/>
              </w:rPr>
            </w:pPr>
            <w:r>
              <w:rPr>
                <w:rFonts w:hint="eastAsia" w:ascii="宋体" w:hAnsi="宋体" w:cs="黑体"/>
                <w:b/>
                <w:sz w:val="24"/>
              </w:rPr>
              <w:t>学时</w:t>
            </w:r>
          </w:p>
        </w:tc>
        <w:tc>
          <w:tcPr>
            <w:tcW w:w="1140" w:type="dxa"/>
            <w:vAlign w:val="center"/>
          </w:tcPr>
          <w:p>
            <w:pPr>
              <w:spacing w:line="300" w:lineRule="auto"/>
              <w:jc w:val="center"/>
              <w:rPr>
                <w:rFonts w:ascii="宋体" w:hAnsi="宋体" w:cs="黑体"/>
                <w:b/>
                <w:sz w:val="24"/>
              </w:rPr>
            </w:pPr>
            <w:r>
              <w:rPr>
                <w:rFonts w:hint="eastAsia" w:ascii="宋体" w:hAnsi="宋体" w:cs="黑体"/>
                <w:b/>
                <w:sz w:val="24"/>
              </w:rPr>
              <w:t>起止周次</w:t>
            </w:r>
          </w:p>
        </w:tc>
        <w:tc>
          <w:tcPr>
            <w:tcW w:w="1141" w:type="dxa"/>
            <w:vAlign w:val="center"/>
          </w:tcPr>
          <w:p>
            <w:pPr>
              <w:spacing w:line="300" w:lineRule="auto"/>
              <w:jc w:val="center"/>
              <w:rPr>
                <w:rFonts w:ascii="宋体" w:hAnsi="宋体" w:cs="黑体"/>
                <w:b/>
                <w:sz w:val="24"/>
              </w:rPr>
            </w:pPr>
            <w:r>
              <w:rPr>
                <w:rFonts w:hint="eastAsia" w:ascii="宋体" w:hAnsi="宋体" w:cs="黑体"/>
                <w:b/>
                <w:sz w:val="24"/>
              </w:rPr>
              <w:t>考核方式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478" w:type="dxa"/>
            <w:vAlign w:val="center"/>
          </w:tcPr>
          <w:p>
            <w:pPr>
              <w:jc w:val="center"/>
              <w:rPr>
                <w:rFonts w:ascii="宋体" w:hAnsi="宋体" w:cs="黑体"/>
                <w:szCs w:val="21"/>
              </w:rPr>
            </w:pPr>
            <w:r>
              <w:rPr>
                <w:rFonts w:hint="eastAsia" w:ascii="宋体" w:hAnsi="宋体" w:cs="黑体"/>
                <w:szCs w:val="21"/>
              </w:rPr>
              <w:t>专业必修课</w:t>
            </w:r>
            <w:r>
              <w:rPr>
                <w:rFonts w:ascii="宋体" w:hAnsi="宋体" w:cs="黑体"/>
                <w:szCs w:val="21"/>
              </w:rPr>
              <w:t xml:space="preserve"> </w:t>
            </w:r>
          </w:p>
        </w:tc>
        <w:tc>
          <w:tcPr>
            <w:tcW w:w="1177" w:type="dxa"/>
            <w:vAlign w:val="center"/>
          </w:tcPr>
          <w:p>
            <w:pPr>
              <w:jc w:val="center"/>
              <w:rPr>
                <w:rFonts w:ascii="宋体" w:hAnsi="宋体" w:cs="黑体"/>
                <w:szCs w:val="21"/>
              </w:rPr>
            </w:pPr>
            <w:r>
              <w:rPr>
                <w:rFonts w:hint="eastAsia" w:ascii="宋体" w:hAnsi="宋体" w:cs="黑体"/>
                <w:szCs w:val="21"/>
              </w:rPr>
              <w:t>03X240</w:t>
            </w:r>
            <w:r>
              <w:rPr>
                <w:rFonts w:hint="eastAsia" w:ascii="宋体" w:hAnsi="宋体" w:cs="黑体"/>
                <w:szCs w:val="21"/>
                <w:lang w:val="en-US" w:eastAsia="zh-CN"/>
              </w:rPr>
              <w:t>30</w:t>
            </w:r>
          </w:p>
        </w:tc>
        <w:tc>
          <w:tcPr>
            <w:tcW w:w="668" w:type="dxa"/>
            <w:vAlign w:val="center"/>
          </w:tcPr>
          <w:p>
            <w:pPr>
              <w:jc w:val="center"/>
              <w:rPr>
                <w:rFonts w:ascii="宋体" w:hAnsi="宋体" w:cs="黑体"/>
                <w:szCs w:val="21"/>
              </w:rPr>
            </w:pPr>
            <w:r>
              <w:rPr>
                <w:rFonts w:hint="eastAsia" w:ascii="宋体" w:hAnsi="宋体" w:cs="黑体"/>
                <w:szCs w:val="21"/>
              </w:rPr>
              <w:t>17级</w:t>
            </w:r>
          </w:p>
        </w:tc>
        <w:tc>
          <w:tcPr>
            <w:tcW w:w="1532" w:type="dxa"/>
            <w:vAlign w:val="center"/>
          </w:tcPr>
          <w:p>
            <w:pPr>
              <w:jc w:val="center"/>
              <w:rPr>
                <w:rFonts w:ascii="宋体" w:hAnsi="宋体" w:cs="黑体"/>
                <w:szCs w:val="21"/>
              </w:rPr>
            </w:pPr>
            <w:r>
              <w:rPr>
                <w:rFonts w:hint="eastAsia" w:ascii="宋体" w:hAnsi="宋体" w:cs="黑体"/>
                <w:szCs w:val="21"/>
              </w:rPr>
              <w:t>视觉传达设计</w:t>
            </w:r>
            <w:r>
              <w:rPr>
                <w:rFonts w:hint="eastAsia" w:ascii="Tahoma" w:hAnsi="Tahoma" w:cs="Tahoma"/>
                <w:bCs/>
                <w:spacing w:val="-20"/>
              </w:rPr>
              <w:t>（</w:t>
            </w:r>
            <w:r>
              <w:rPr>
                <w:rFonts w:hint="eastAsia" w:ascii="Tahoma" w:hAnsi="Tahoma" w:cs="Tahoma"/>
                <w:bCs/>
                <w:spacing w:val="-20"/>
                <w:lang w:val="en-US" w:eastAsia="zh-CN"/>
              </w:rPr>
              <w:t>数码媒体</w:t>
            </w:r>
            <w:r>
              <w:rPr>
                <w:rFonts w:hint="eastAsia" w:ascii="Tahoma" w:hAnsi="Tahoma" w:cs="Tahoma"/>
                <w:bCs/>
                <w:spacing w:val="-20"/>
              </w:rPr>
              <w:t>设计方向）</w:t>
            </w:r>
          </w:p>
        </w:tc>
        <w:tc>
          <w:tcPr>
            <w:tcW w:w="1140" w:type="dxa"/>
            <w:vAlign w:val="center"/>
          </w:tcPr>
          <w:p>
            <w:pPr>
              <w:jc w:val="center"/>
              <w:rPr>
                <w:rFonts w:ascii="宋体" w:hAnsi="宋体" w:cs="黑体"/>
                <w:szCs w:val="21"/>
              </w:rPr>
            </w:pPr>
            <w:r>
              <w:rPr>
                <w:rFonts w:hint="eastAsia" w:ascii="宋体" w:hAnsi="宋体" w:cs="黑体"/>
                <w:szCs w:val="21"/>
                <w:lang w:val="en-US" w:eastAsia="zh-CN"/>
              </w:rPr>
              <w:t>64</w:t>
            </w:r>
            <w:r>
              <w:rPr>
                <w:rFonts w:hint="eastAsia" w:ascii="宋体" w:hAnsi="宋体" w:cs="黑体"/>
                <w:szCs w:val="21"/>
              </w:rPr>
              <w:t>学时</w:t>
            </w:r>
          </w:p>
        </w:tc>
        <w:tc>
          <w:tcPr>
            <w:tcW w:w="1140" w:type="dxa"/>
            <w:vAlign w:val="center"/>
          </w:tcPr>
          <w:p>
            <w:pPr>
              <w:jc w:val="center"/>
              <w:rPr>
                <w:rFonts w:hint="default" w:ascii="宋体" w:hAnsi="宋体" w:eastAsia="宋体" w:cs="黑体"/>
                <w:szCs w:val="21"/>
                <w:lang w:val="en-US" w:eastAsia="zh-CN"/>
              </w:rPr>
            </w:pPr>
            <w:r>
              <w:rPr>
                <w:rFonts w:hint="eastAsia" w:ascii="宋体" w:hAnsi="宋体" w:cs="黑体"/>
                <w:szCs w:val="21"/>
              </w:rPr>
              <w:t>1-</w:t>
            </w:r>
            <w:r>
              <w:rPr>
                <w:rFonts w:hint="eastAsia" w:ascii="宋体" w:hAnsi="宋体" w:cs="黑体"/>
                <w:szCs w:val="21"/>
                <w:lang w:val="en-US" w:eastAsia="zh-CN"/>
              </w:rPr>
              <w:t>16</w:t>
            </w:r>
          </w:p>
        </w:tc>
        <w:tc>
          <w:tcPr>
            <w:tcW w:w="1141" w:type="dxa"/>
            <w:vAlign w:val="center"/>
          </w:tcPr>
          <w:p>
            <w:pPr>
              <w:jc w:val="center"/>
              <w:rPr>
                <w:rFonts w:hint="eastAsia" w:ascii="宋体" w:hAnsi="宋体" w:eastAsia="宋体" w:cs="黑体"/>
                <w:szCs w:val="21"/>
                <w:lang w:eastAsia="zh-CN"/>
              </w:rPr>
            </w:pPr>
            <w:r>
              <w:rPr>
                <w:rFonts w:hint="eastAsia" w:ascii="宋体" w:hAnsi="宋体" w:cs="黑体"/>
                <w:szCs w:val="21"/>
                <w:lang w:val="en-US" w:eastAsia="zh-CN"/>
              </w:rPr>
              <w:t>考查</w:t>
            </w:r>
          </w:p>
        </w:tc>
      </w:tr>
    </w:tbl>
    <w:p>
      <w:pPr>
        <w:jc w:val="left"/>
        <w:rPr>
          <w:rFonts w:ascii="楷体" w:hAnsi="楷体" w:eastAsia="楷体"/>
          <w:b/>
        </w:rPr>
      </w:pPr>
    </w:p>
    <w:p>
      <w:pPr>
        <w:jc w:val="left"/>
        <w:rPr>
          <w:rFonts w:ascii="楷体" w:hAnsi="楷体" w:eastAsia="楷体"/>
          <w:b/>
        </w:rPr>
      </w:pPr>
    </w:p>
    <w:p>
      <w:pPr>
        <w:jc w:val="left"/>
        <w:rPr>
          <w:rFonts w:ascii="楷体" w:hAnsi="楷体" w:eastAsia="楷体"/>
          <w:b/>
        </w:rPr>
      </w:pPr>
    </w:p>
    <w:tbl>
      <w:tblPr>
        <w:tblStyle w:val="4"/>
        <w:tblW w:w="827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43"/>
        <w:gridCol w:w="1063"/>
        <w:gridCol w:w="1444"/>
        <w:gridCol w:w="42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276" w:type="dxa"/>
            <w:gridSpan w:val="4"/>
            <w:vAlign w:val="center"/>
          </w:tcPr>
          <w:p>
            <w:pPr>
              <w:jc w:val="center"/>
              <w:rPr>
                <w:rFonts w:ascii="宋体" w:hAnsi="宋体" w:cs="黑体"/>
                <w:b/>
                <w:sz w:val="24"/>
              </w:rPr>
            </w:pPr>
            <w:r>
              <w:rPr>
                <w:rFonts w:hint="eastAsia" w:ascii="宋体" w:hAnsi="宋体" w:cs="黑体"/>
                <w:b/>
                <w:sz w:val="24"/>
              </w:rPr>
              <w:t>17级视觉传达设计专业《</w:t>
            </w:r>
            <w:r>
              <w:rPr>
                <w:rFonts w:hint="eastAsia" w:ascii="宋体" w:hAnsi="宋体" w:cs="黑体"/>
                <w:b/>
                <w:sz w:val="24"/>
                <w:lang w:val="en-US" w:eastAsia="zh-CN"/>
              </w:rPr>
              <w:t>数码媒体</w:t>
            </w:r>
            <w:r>
              <w:rPr>
                <w:rFonts w:hint="eastAsia" w:ascii="宋体" w:hAnsi="宋体" w:cs="黑体"/>
                <w:b/>
                <w:sz w:val="24"/>
              </w:rPr>
              <w:t>设计规范与流程》班级授课信息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3" w:type="dxa"/>
            <w:vAlign w:val="center"/>
          </w:tcPr>
          <w:p>
            <w:pPr>
              <w:jc w:val="center"/>
              <w:rPr>
                <w:rFonts w:ascii="宋体" w:hAnsi="宋体" w:cs="黑体"/>
                <w:b/>
                <w:sz w:val="24"/>
              </w:rPr>
            </w:pPr>
            <w:r>
              <w:rPr>
                <w:rFonts w:hint="eastAsia" w:ascii="宋体" w:hAnsi="宋体" w:cs="黑体"/>
                <w:b/>
                <w:sz w:val="24"/>
              </w:rPr>
              <w:t>班级</w:t>
            </w:r>
          </w:p>
        </w:tc>
        <w:tc>
          <w:tcPr>
            <w:tcW w:w="1063" w:type="dxa"/>
            <w:vAlign w:val="center"/>
          </w:tcPr>
          <w:p>
            <w:pPr>
              <w:jc w:val="center"/>
              <w:rPr>
                <w:rFonts w:ascii="宋体" w:hAnsi="宋体" w:cs="黑体"/>
                <w:b/>
                <w:sz w:val="24"/>
              </w:rPr>
            </w:pPr>
            <w:r>
              <w:rPr>
                <w:rFonts w:hint="eastAsia" w:ascii="宋体" w:hAnsi="宋体" w:cs="黑体"/>
                <w:b/>
                <w:sz w:val="24"/>
              </w:rPr>
              <w:t>教师</w:t>
            </w:r>
          </w:p>
        </w:tc>
        <w:tc>
          <w:tcPr>
            <w:tcW w:w="1444" w:type="dxa"/>
            <w:vAlign w:val="center"/>
          </w:tcPr>
          <w:p>
            <w:pPr>
              <w:jc w:val="center"/>
              <w:rPr>
                <w:rFonts w:ascii="宋体" w:hAnsi="宋体" w:cs="黑体"/>
                <w:b/>
                <w:sz w:val="24"/>
              </w:rPr>
            </w:pPr>
            <w:r>
              <w:rPr>
                <w:rFonts w:hint="eastAsia" w:ascii="宋体" w:hAnsi="宋体" w:cs="黑体"/>
                <w:b/>
                <w:sz w:val="24"/>
              </w:rPr>
              <w:t>授课时间</w:t>
            </w:r>
          </w:p>
        </w:tc>
        <w:tc>
          <w:tcPr>
            <w:tcW w:w="4226" w:type="dxa"/>
            <w:vAlign w:val="center"/>
          </w:tcPr>
          <w:p>
            <w:pPr>
              <w:jc w:val="center"/>
              <w:rPr>
                <w:rFonts w:ascii="宋体" w:hAnsi="宋体" w:cs="黑体"/>
                <w:b/>
                <w:sz w:val="24"/>
              </w:rPr>
            </w:pPr>
            <w:r>
              <w:rPr>
                <w:rFonts w:hint="eastAsia" w:ascii="宋体" w:hAnsi="宋体" w:cs="黑体"/>
                <w:b/>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3" w:hRule="atLeast"/>
        </w:trPr>
        <w:tc>
          <w:tcPr>
            <w:tcW w:w="1543" w:type="dxa"/>
            <w:vAlign w:val="center"/>
          </w:tcPr>
          <w:p>
            <w:pPr>
              <w:jc w:val="center"/>
              <w:rPr>
                <w:rFonts w:ascii="宋体" w:hAnsi="宋体" w:cs="黑体"/>
                <w:szCs w:val="21"/>
              </w:rPr>
            </w:pPr>
            <w:r>
              <w:rPr>
                <w:rFonts w:hint="eastAsia" w:ascii="宋体" w:hAnsi="宋体" w:cs="黑体"/>
                <w:szCs w:val="21"/>
              </w:rPr>
              <w:t>视觉设计第</w:t>
            </w:r>
            <w:r>
              <w:rPr>
                <w:rFonts w:hint="eastAsia" w:ascii="宋体" w:hAnsi="宋体" w:cs="黑体"/>
                <w:szCs w:val="21"/>
                <w:lang w:val="en-US" w:eastAsia="zh-CN"/>
              </w:rPr>
              <w:t>三</w:t>
            </w:r>
            <w:r>
              <w:rPr>
                <w:rFonts w:hint="eastAsia" w:ascii="宋体" w:hAnsi="宋体" w:cs="黑体"/>
                <w:szCs w:val="21"/>
              </w:rPr>
              <w:t>工作室</w:t>
            </w:r>
          </w:p>
        </w:tc>
        <w:tc>
          <w:tcPr>
            <w:tcW w:w="1063" w:type="dxa"/>
            <w:vAlign w:val="center"/>
          </w:tcPr>
          <w:p>
            <w:pPr>
              <w:jc w:val="center"/>
              <w:rPr>
                <w:rFonts w:hint="eastAsia" w:ascii="宋体" w:hAnsi="宋体" w:eastAsia="宋体" w:cs="黑体"/>
                <w:szCs w:val="21"/>
                <w:lang w:eastAsia="zh-CN"/>
              </w:rPr>
            </w:pPr>
            <w:r>
              <w:rPr>
                <w:rFonts w:hint="eastAsia" w:ascii="宋体" w:hAnsi="宋体" w:cs="黑体"/>
                <w:szCs w:val="21"/>
                <w:lang w:val="en-US" w:eastAsia="zh-CN"/>
              </w:rPr>
              <w:t>梅林峰</w:t>
            </w:r>
          </w:p>
        </w:tc>
        <w:tc>
          <w:tcPr>
            <w:tcW w:w="1444" w:type="dxa"/>
            <w:vAlign w:val="center"/>
          </w:tcPr>
          <w:p>
            <w:pPr>
              <w:jc w:val="center"/>
              <w:rPr>
                <w:rFonts w:ascii="宋体" w:hAnsi="宋体" w:cs="黑体"/>
                <w:szCs w:val="21"/>
              </w:rPr>
            </w:pPr>
            <w:r>
              <w:rPr>
                <w:rFonts w:hint="eastAsia" w:ascii="宋体" w:hAnsi="宋体" w:cs="黑体"/>
                <w:szCs w:val="21"/>
              </w:rPr>
              <w:t>2</w:t>
            </w:r>
            <w:r>
              <w:rPr>
                <w:rFonts w:ascii="宋体" w:hAnsi="宋体" w:cs="黑体"/>
                <w:szCs w:val="21"/>
              </w:rPr>
              <w:t>020.3.2-2020.3.27</w:t>
            </w:r>
          </w:p>
        </w:tc>
        <w:tc>
          <w:tcPr>
            <w:tcW w:w="4226" w:type="dxa"/>
            <w:vMerge w:val="restart"/>
            <w:vAlign w:val="center"/>
          </w:tcPr>
          <w:p>
            <w:pPr>
              <w:numPr>
                <w:ilvl w:val="0"/>
                <w:numId w:val="1"/>
              </w:numPr>
              <w:rPr>
                <w:rFonts w:hint="eastAsia" w:ascii="宋体" w:hAnsi="宋体" w:cs="黑体"/>
                <w:szCs w:val="21"/>
              </w:rPr>
            </w:pPr>
            <w:r>
              <w:rPr>
                <w:rFonts w:hint="eastAsia" w:ascii="宋体" w:hAnsi="宋体" w:cs="黑体"/>
                <w:szCs w:val="21"/>
              </w:rPr>
              <w:t>线上教学内容以互联网认知理论为主；</w:t>
            </w:r>
          </w:p>
          <w:p>
            <w:pPr>
              <w:numPr>
                <w:ilvl w:val="0"/>
                <w:numId w:val="1"/>
              </w:numPr>
              <w:rPr>
                <w:rFonts w:hint="eastAsia" w:ascii="宋体" w:hAnsi="宋体" w:cs="黑体"/>
                <w:szCs w:val="21"/>
              </w:rPr>
            </w:pPr>
            <w:r>
              <w:rPr>
                <w:rFonts w:hint="eastAsia" w:ascii="宋体" w:hAnsi="宋体" w:cs="黑体"/>
                <w:szCs w:val="21"/>
              </w:rPr>
              <w:t>结合知识点设置作业和考核方法；</w:t>
            </w:r>
          </w:p>
          <w:p>
            <w:pPr>
              <w:numPr>
                <w:ilvl w:val="0"/>
                <w:numId w:val="1"/>
              </w:numPr>
              <w:rPr>
                <w:rFonts w:hint="eastAsia" w:ascii="宋体" w:hAnsi="宋体" w:cs="黑体"/>
                <w:szCs w:val="21"/>
              </w:rPr>
            </w:pPr>
            <w:r>
              <w:rPr>
                <w:rFonts w:hint="eastAsia" w:ascii="宋体" w:hAnsi="宋体" w:cs="黑体"/>
                <w:szCs w:val="21"/>
              </w:rPr>
              <w:t>上传课程教学视频，学习资料（或视频等资源链接）</w:t>
            </w:r>
          </w:p>
          <w:p>
            <w:pPr>
              <w:numPr>
                <w:ilvl w:val="0"/>
                <w:numId w:val="1"/>
              </w:numPr>
              <w:rPr>
                <w:rFonts w:hint="eastAsia" w:ascii="宋体" w:hAnsi="宋体" w:cs="黑体"/>
                <w:szCs w:val="21"/>
              </w:rPr>
            </w:pPr>
            <w:r>
              <w:rPr>
                <w:rFonts w:hint="eastAsia" w:ascii="宋体" w:hAnsi="宋体" w:cs="黑体"/>
                <w:szCs w:val="21"/>
              </w:rPr>
              <w:t>发布课程教学目标，学生自学内容及相关要求；</w:t>
            </w:r>
          </w:p>
          <w:p>
            <w:pPr>
              <w:numPr>
                <w:ilvl w:val="0"/>
                <w:numId w:val="1"/>
              </w:numPr>
              <w:rPr>
                <w:rFonts w:hint="eastAsia" w:ascii="宋体" w:hAnsi="宋体" w:cs="黑体"/>
                <w:szCs w:val="21"/>
              </w:rPr>
            </w:pPr>
            <w:r>
              <w:rPr>
                <w:rFonts w:hint="eastAsia" w:ascii="宋体" w:hAnsi="宋体" w:cs="黑体"/>
                <w:szCs w:val="21"/>
              </w:rPr>
              <w:t>对发布自学任务的完成情况进行分析（是否看视频、阅读资料等）</w:t>
            </w:r>
          </w:p>
          <w:p>
            <w:pPr>
              <w:numPr>
                <w:ilvl w:val="0"/>
                <w:numId w:val="1"/>
              </w:numPr>
              <w:rPr>
                <w:rFonts w:hint="eastAsia" w:ascii="宋体" w:hAnsi="宋体" w:cs="黑体"/>
                <w:szCs w:val="21"/>
              </w:rPr>
            </w:pPr>
            <w:r>
              <w:rPr>
                <w:rFonts w:hint="eastAsia" w:ascii="宋体" w:hAnsi="宋体" w:cs="黑体"/>
                <w:szCs w:val="21"/>
              </w:rPr>
              <w:t>初步判断学生可能遇到的问题，设置预案；</w:t>
            </w:r>
          </w:p>
          <w:p>
            <w:pPr>
              <w:numPr>
                <w:ilvl w:val="0"/>
                <w:numId w:val="1"/>
              </w:numPr>
              <w:rPr>
                <w:rFonts w:hint="eastAsia" w:ascii="宋体" w:hAnsi="宋体" w:cs="黑体"/>
                <w:szCs w:val="21"/>
              </w:rPr>
            </w:pPr>
            <w:r>
              <w:rPr>
                <w:rFonts w:hint="eastAsia" w:ascii="宋体" w:hAnsi="宋体" w:cs="黑体"/>
                <w:szCs w:val="21"/>
              </w:rPr>
              <w:t>准备线上教学测试题。</w:t>
            </w:r>
          </w:p>
          <w:p>
            <w:pPr>
              <w:rPr>
                <w:rFonts w:ascii="宋体" w:hAnsi="宋体" w:cs="黑体"/>
                <w:szCs w:val="21"/>
              </w:rPr>
            </w:pPr>
            <w:r>
              <w:rPr>
                <w:rFonts w:hint="eastAsia" w:ascii="宋体" w:hAnsi="宋体" w:cs="黑体"/>
                <w:szCs w:val="21"/>
              </w:rPr>
              <w:t>准备线上教学案例、讨论主题等。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7" w:hRule="atLeast"/>
        </w:trPr>
        <w:tc>
          <w:tcPr>
            <w:tcW w:w="1543" w:type="dxa"/>
            <w:vAlign w:val="center"/>
          </w:tcPr>
          <w:p>
            <w:pPr>
              <w:jc w:val="center"/>
            </w:pPr>
            <w:r>
              <w:rPr>
                <w:rFonts w:hint="eastAsia" w:ascii="宋体" w:hAnsi="宋体" w:cs="黑体"/>
                <w:szCs w:val="21"/>
              </w:rPr>
              <w:t>视觉设计第</w:t>
            </w:r>
            <w:r>
              <w:rPr>
                <w:rFonts w:hint="eastAsia" w:ascii="宋体" w:hAnsi="宋体" w:cs="黑体"/>
                <w:szCs w:val="21"/>
                <w:lang w:val="en-US" w:eastAsia="zh-CN"/>
              </w:rPr>
              <w:t>四</w:t>
            </w:r>
            <w:r>
              <w:rPr>
                <w:rFonts w:hint="eastAsia" w:ascii="宋体" w:hAnsi="宋体" w:cs="黑体"/>
                <w:szCs w:val="21"/>
              </w:rPr>
              <w:t>工作室</w:t>
            </w:r>
          </w:p>
        </w:tc>
        <w:tc>
          <w:tcPr>
            <w:tcW w:w="1063" w:type="dxa"/>
            <w:vAlign w:val="center"/>
          </w:tcPr>
          <w:p>
            <w:pPr>
              <w:spacing w:line="300" w:lineRule="auto"/>
              <w:jc w:val="center"/>
              <w:rPr>
                <w:rFonts w:hint="eastAsia" w:ascii="宋体" w:hAnsi="宋体" w:eastAsia="宋体" w:cs="黑体"/>
                <w:szCs w:val="21"/>
                <w:lang w:eastAsia="zh-CN"/>
              </w:rPr>
            </w:pPr>
            <w:r>
              <w:rPr>
                <w:rFonts w:hint="eastAsia"/>
                <w:lang w:val="en-US" w:eastAsia="zh-CN"/>
              </w:rPr>
              <w:t>田立群</w:t>
            </w:r>
          </w:p>
        </w:tc>
        <w:tc>
          <w:tcPr>
            <w:tcW w:w="1444" w:type="dxa"/>
            <w:vAlign w:val="center"/>
          </w:tcPr>
          <w:p>
            <w:pPr>
              <w:spacing w:line="300" w:lineRule="auto"/>
              <w:jc w:val="center"/>
              <w:rPr>
                <w:rFonts w:ascii="宋体" w:hAnsi="宋体" w:cs="黑体"/>
                <w:szCs w:val="21"/>
              </w:rPr>
            </w:pPr>
            <w:r>
              <w:rPr>
                <w:rFonts w:hint="eastAsia" w:ascii="宋体" w:hAnsi="宋体" w:cs="黑体"/>
                <w:szCs w:val="21"/>
              </w:rPr>
              <w:t>2</w:t>
            </w:r>
            <w:r>
              <w:rPr>
                <w:rFonts w:ascii="宋体" w:hAnsi="宋体" w:cs="黑体"/>
                <w:szCs w:val="21"/>
              </w:rPr>
              <w:t>020.3.2-2020.3.27</w:t>
            </w:r>
          </w:p>
        </w:tc>
        <w:tc>
          <w:tcPr>
            <w:tcW w:w="4226" w:type="dxa"/>
            <w:vMerge w:val="continue"/>
            <w:vAlign w:val="center"/>
          </w:tcPr>
          <w:p>
            <w:pPr>
              <w:spacing w:line="300" w:lineRule="auto"/>
              <w:jc w:val="center"/>
              <w:rPr>
                <w:rFonts w:ascii="黑体" w:hAnsi="黑体" w:eastAsia="黑体" w:cs="黑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6" w:hRule="atLeast"/>
        </w:trPr>
        <w:tc>
          <w:tcPr>
            <w:tcW w:w="1543" w:type="dxa"/>
            <w:vAlign w:val="center"/>
          </w:tcPr>
          <w:p>
            <w:pPr>
              <w:jc w:val="center"/>
            </w:pPr>
            <w:r>
              <w:rPr>
                <w:rFonts w:hint="eastAsia" w:ascii="宋体" w:hAnsi="宋体" w:cs="黑体"/>
                <w:szCs w:val="21"/>
              </w:rPr>
              <w:t>视觉设计第</w:t>
            </w:r>
            <w:r>
              <w:rPr>
                <w:rFonts w:hint="eastAsia" w:ascii="宋体" w:hAnsi="宋体" w:cs="黑体"/>
                <w:szCs w:val="21"/>
                <w:lang w:val="en-US" w:eastAsia="zh-CN"/>
              </w:rPr>
              <w:t>六</w:t>
            </w:r>
            <w:r>
              <w:rPr>
                <w:rFonts w:hint="eastAsia" w:ascii="宋体" w:hAnsi="宋体" w:cs="黑体"/>
                <w:szCs w:val="21"/>
              </w:rPr>
              <w:t>工作室</w:t>
            </w:r>
          </w:p>
        </w:tc>
        <w:tc>
          <w:tcPr>
            <w:tcW w:w="1063" w:type="dxa"/>
            <w:vAlign w:val="center"/>
          </w:tcPr>
          <w:p>
            <w:pPr>
              <w:spacing w:line="300" w:lineRule="auto"/>
              <w:jc w:val="center"/>
              <w:rPr>
                <w:rFonts w:hint="eastAsia" w:ascii="宋体" w:hAnsi="宋体" w:eastAsia="宋体" w:cs="黑体"/>
                <w:szCs w:val="21"/>
                <w:lang w:eastAsia="zh-CN"/>
              </w:rPr>
            </w:pPr>
            <w:r>
              <w:rPr>
                <w:rFonts w:hint="eastAsia"/>
                <w:lang w:val="en-US" w:eastAsia="zh-CN"/>
              </w:rPr>
              <w:t>李耀扬</w:t>
            </w:r>
          </w:p>
        </w:tc>
        <w:tc>
          <w:tcPr>
            <w:tcW w:w="1444" w:type="dxa"/>
            <w:vAlign w:val="center"/>
          </w:tcPr>
          <w:p>
            <w:pPr>
              <w:spacing w:line="300" w:lineRule="auto"/>
              <w:jc w:val="center"/>
              <w:rPr>
                <w:rFonts w:ascii="宋体" w:hAnsi="宋体" w:cs="黑体"/>
                <w:szCs w:val="21"/>
              </w:rPr>
            </w:pPr>
            <w:r>
              <w:rPr>
                <w:rFonts w:hint="eastAsia" w:ascii="宋体" w:hAnsi="宋体" w:cs="黑体"/>
                <w:szCs w:val="21"/>
              </w:rPr>
              <w:t>2</w:t>
            </w:r>
            <w:r>
              <w:rPr>
                <w:rFonts w:ascii="宋体" w:hAnsi="宋体" w:cs="黑体"/>
                <w:szCs w:val="21"/>
              </w:rPr>
              <w:t>020.3.2-2020.3.27</w:t>
            </w:r>
          </w:p>
        </w:tc>
        <w:tc>
          <w:tcPr>
            <w:tcW w:w="4226" w:type="dxa"/>
            <w:vMerge w:val="continue"/>
            <w:vAlign w:val="center"/>
          </w:tcPr>
          <w:p>
            <w:pPr>
              <w:spacing w:line="300" w:lineRule="auto"/>
              <w:jc w:val="center"/>
              <w:rPr>
                <w:rFonts w:ascii="黑体" w:hAnsi="黑体" w:eastAsia="黑体" w:cs="黑体"/>
                <w:szCs w:val="21"/>
              </w:rPr>
            </w:pPr>
          </w:p>
        </w:tc>
      </w:tr>
    </w:tbl>
    <w:p>
      <w:pPr>
        <w:spacing w:line="300" w:lineRule="auto"/>
        <w:ind w:firstLine="643" w:firstLineChars="200"/>
        <w:jc w:val="left"/>
        <w:rPr>
          <w:rFonts w:ascii="楷体" w:hAnsi="楷体" w:eastAsia="楷体"/>
          <w:b/>
          <w:sz w:val="32"/>
          <w:szCs w:val="32"/>
        </w:rPr>
      </w:pPr>
      <w:r>
        <w:rPr>
          <w:rFonts w:hint="eastAsia" w:ascii="楷体" w:hAnsi="楷体" w:eastAsia="楷体"/>
          <w:b/>
          <w:sz w:val="32"/>
          <w:szCs w:val="32"/>
        </w:rPr>
        <w:t>（二）线上教学模式</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基于《平面设计实践》课程特点及教学目标分析，为及时掌控学生在线学习状态，实时把控各环节学习的真实情况，并实施进行师生互动辅导答疑，最大程度提升线上教学的“直接性”和“课堂育人”功能，避免网络教学平台的不稳定性，课程组计划以超星泛雅平台（学习通）</w:t>
      </w:r>
      <w:r>
        <w:rPr>
          <w:rFonts w:hint="eastAsia" w:ascii="仿宋" w:hAnsi="仿宋" w:eastAsia="仿宋"/>
          <w:sz w:val="32"/>
          <w:szCs w:val="32"/>
          <w:lang w:val="en-US" w:eastAsia="zh-CN"/>
        </w:rPr>
        <w:t>作为主要教学内容的安排</w:t>
      </w:r>
      <w:r>
        <w:rPr>
          <w:rFonts w:hint="eastAsia" w:ascii="仿宋" w:hAnsi="仿宋" w:eastAsia="仿宋"/>
          <w:sz w:val="32"/>
          <w:szCs w:val="32"/>
        </w:rPr>
        <w:t>，</w:t>
      </w:r>
      <w:r>
        <w:rPr>
          <w:rFonts w:hint="eastAsia" w:ascii="仿宋" w:hAnsi="仿宋" w:eastAsia="仿宋"/>
          <w:sz w:val="32"/>
          <w:szCs w:val="32"/>
          <w:lang w:val="en-US" w:eastAsia="zh-CN"/>
        </w:rPr>
        <w:t>配合</w:t>
      </w:r>
      <w:r>
        <w:rPr>
          <w:rFonts w:hint="eastAsia" w:ascii="仿宋" w:hAnsi="仿宋" w:eastAsia="仿宋"/>
          <w:sz w:val="32"/>
          <w:szCs w:val="32"/>
        </w:rPr>
        <w:t>学习通工具（签到、活动、作业等）实施线上教学管理。授课教师利用微信、QQ教学班级群，确保相关教学信息畅通，同时为线上教学互动答疑、学习资源、教学资料发布管理以及相关教学课题实训的有效辅助。</w:t>
      </w:r>
    </w:p>
    <w:p>
      <w:pPr>
        <w:widowControl/>
        <w:shd w:val="clear" w:color="auto" w:fill="FFFFFF"/>
        <w:spacing w:line="300" w:lineRule="auto"/>
        <w:ind w:firstLine="640" w:firstLineChars="200"/>
        <w:jc w:val="left"/>
        <w:rPr>
          <w:rFonts w:hint="eastAsia" w:ascii="仿宋" w:hAnsi="仿宋" w:eastAsia="仿宋"/>
          <w:sz w:val="32"/>
          <w:szCs w:val="32"/>
        </w:rPr>
      </w:pPr>
      <w:r>
        <w:rPr>
          <w:rFonts w:hint="eastAsia" w:ascii="仿宋" w:hAnsi="仿宋" w:eastAsia="仿宋"/>
          <w:sz w:val="32"/>
          <w:szCs w:val="32"/>
        </w:rPr>
        <w:t>教师在QQ群/微信群发送听课链接，学生在课堂内观看教师实时授课，并进行讨论互动。</w:t>
      </w:r>
    </w:p>
    <w:p>
      <w:pPr>
        <w:widowControl/>
        <w:shd w:val="clear" w:color="auto" w:fill="FFFFFF"/>
        <w:spacing w:line="300" w:lineRule="auto"/>
        <w:ind w:firstLine="640" w:firstLineChars="200"/>
        <w:jc w:val="left"/>
        <w:rPr>
          <w:rFonts w:hint="eastAsia" w:ascii="仿宋" w:hAnsi="仿宋" w:eastAsia="仿宋"/>
          <w:sz w:val="32"/>
          <w:szCs w:val="32"/>
        </w:rPr>
      </w:pPr>
      <w:r>
        <w:rPr>
          <w:rFonts w:hint="eastAsia" w:ascii="仿宋" w:hAnsi="仿宋" w:eastAsia="仿宋"/>
          <w:sz w:val="32"/>
          <w:szCs w:val="32"/>
        </w:rPr>
        <w:t>超星泛雅平台（学习通）：超星泛雅是基于慕课的新一代网络教学平台。老师可以在这个平台利用庞大的资源建立线上课程。</w:t>
      </w:r>
    </w:p>
    <w:p>
      <w:pPr>
        <w:widowControl/>
        <w:numPr>
          <w:ilvl w:val="0"/>
          <w:numId w:val="0"/>
        </w:numPr>
        <w:shd w:val="clear" w:color="auto" w:fill="FFFFFF"/>
        <w:spacing w:line="300" w:lineRule="auto"/>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形成每周学生自主学习任务清单及教师线上教学指导；包括教学课件、述课视频、案例、试题、作业、讨论题等。</w:t>
      </w:r>
      <w:r>
        <w:rPr>
          <w:rFonts w:hint="eastAsia" w:ascii="仿宋" w:hAnsi="仿宋" w:eastAsia="仿宋"/>
          <w:sz w:val="32"/>
          <w:szCs w:val="32"/>
          <w:lang w:val="en-US" w:eastAsia="zh-CN"/>
        </w:rPr>
        <w:t xml:space="preserve">  </w:t>
      </w:r>
    </w:p>
    <w:p>
      <w:pPr>
        <w:widowControl/>
        <w:numPr>
          <w:ilvl w:val="0"/>
          <w:numId w:val="0"/>
        </w:numPr>
        <w:shd w:val="clear" w:color="auto" w:fill="FFFFFF"/>
        <w:spacing w:line="300" w:lineRule="auto"/>
        <w:ind w:firstLine="643" w:firstLineChars="200"/>
        <w:jc w:val="left"/>
        <w:rPr>
          <w:rFonts w:ascii="楷体" w:hAnsi="楷体" w:eastAsia="楷体"/>
          <w:b/>
          <w:sz w:val="32"/>
          <w:szCs w:val="32"/>
        </w:rPr>
      </w:pPr>
      <w:bookmarkStart w:id="0" w:name="_GoBack"/>
      <w:bookmarkEnd w:id="0"/>
      <w:r>
        <w:rPr>
          <w:rFonts w:hint="eastAsia" w:ascii="楷体" w:hAnsi="楷体" w:eastAsia="楷体"/>
          <w:b/>
          <w:sz w:val="32"/>
          <w:szCs w:val="32"/>
        </w:rPr>
        <w:t>（三）线上教学组织与监督</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课程组按统一的课程教学大纲、教学进度表，以实践指导书为依据，结合授课教案、</w:t>
      </w:r>
      <w:r>
        <w:rPr>
          <w:rFonts w:ascii="仿宋" w:hAnsi="仿宋" w:eastAsia="仿宋"/>
          <w:sz w:val="32"/>
          <w:szCs w:val="32"/>
        </w:rPr>
        <w:t>PPT</w:t>
      </w:r>
      <w:r>
        <w:rPr>
          <w:rFonts w:hint="eastAsia" w:ascii="仿宋" w:hAnsi="仿宋" w:eastAsia="仿宋"/>
          <w:sz w:val="32"/>
          <w:szCs w:val="32"/>
        </w:rPr>
        <w:t>、教学资料包、教学辅助语音</w:t>
      </w:r>
      <w:r>
        <w:rPr>
          <w:rFonts w:ascii="仿宋" w:hAnsi="仿宋" w:eastAsia="仿宋"/>
          <w:sz w:val="32"/>
          <w:szCs w:val="32"/>
        </w:rPr>
        <w:t>/</w:t>
      </w:r>
      <w:r>
        <w:rPr>
          <w:rFonts w:hint="eastAsia" w:ascii="仿宋" w:hAnsi="仿宋" w:eastAsia="仿宋"/>
          <w:sz w:val="32"/>
          <w:szCs w:val="32"/>
        </w:rPr>
        <w:t>视频、课后学习链接等进行线上教学设计：</w:t>
      </w:r>
    </w:p>
    <w:p>
      <w:pPr>
        <w:widowControl/>
        <w:shd w:val="clear" w:color="auto" w:fill="FFFFFF"/>
        <w:spacing w:line="300" w:lineRule="auto"/>
        <w:ind w:firstLine="640" w:firstLineChars="200"/>
        <w:jc w:val="left"/>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教师以</w:t>
      </w:r>
      <w:r>
        <w:rPr>
          <w:rFonts w:ascii="仿宋" w:hAnsi="仿宋" w:eastAsia="仿宋"/>
          <w:sz w:val="32"/>
          <w:szCs w:val="32"/>
        </w:rPr>
        <w:t>4</w:t>
      </w:r>
      <w:r>
        <w:rPr>
          <w:rFonts w:hint="eastAsia" w:ascii="仿宋" w:hAnsi="仿宋" w:eastAsia="仿宋"/>
          <w:sz w:val="32"/>
          <w:szCs w:val="32"/>
        </w:rPr>
        <w:t>个教学周为单位，依次以延期开学时限类推。结合授课主题、课程重</w:t>
      </w:r>
      <w:r>
        <w:rPr>
          <w:rFonts w:ascii="仿宋" w:hAnsi="仿宋" w:eastAsia="仿宋"/>
          <w:sz w:val="32"/>
          <w:szCs w:val="32"/>
        </w:rPr>
        <w:t>/</w:t>
      </w:r>
      <w:r>
        <w:rPr>
          <w:rFonts w:hint="eastAsia" w:ascii="仿宋" w:hAnsi="仿宋" w:eastAsia="仿宋"/>
          <w:sz w:val="32"/>
          <w:szCs w:val="32"/>
        </w:rPr>
        <w:t>难点、课程设计、课件数量、讲解时长、课后作业、考核方式、出勤情况进行预填表并如实记录全过程。</w:t>
      </w:r>
    </w:p>
    <w:p>
      <w:pPr>
        <w:spacing w:line="300" w:lineRule="auto"/>
        <w:ind w:firstLine="627" w:firstLineChars="196"/>
        <w:rPr>
          <w:rFonts w:ascii="仿宋" w:hAnsi="仿宋" w:eastAsia="仿宋"/>
          <w:sz w:val="32"/>
          <w:szCs w:val="32"/>
        </w:rPr>
      </w:pPr>
      <w:r>
        <w:rPr>
          <w:rFonts w:hint="eastAsia" w:ascii="仿宋" w:hAnsi="仿宋" w:eastAsia="仿宋"/>
          <w:sz w:val="32"/>
          <w:szCs w:val="32"/>
        </w:rPr>
        <w:t>2.课程组于正式开课前每周通过QQ群、微信群方式，开展1-2次线上教学专题研讨及培训答疑，制定课程线上的教学设计。开课教师于课前在班级QQ群、微信群至少进行2次线上教学模拟调试，要求正式开课前师生能够100%掌握视频直播流程。</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3.学生自主学习与指导</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开课教师于2月1</w:t>
      </w:r>
      <w:r>
        <w:rPr>
          <w:rFonts w:hint="eastAsia" w:ascii="仿宋" w:hAnsi="仿宋" w:eastAsia="仿宋"/>
          <w:sz w:val="32"/>
          <w:szCs w:val="32"/>
          <w:lang w:val="en-US" w:eastAsia="zh-CN"/>
        </w:rPr>
        <w:t>6</w:t>
      </w:r>
      <w:r>
        <w:rPr>
          <w:rFonts w:hint="eastAsia" w:ascii="仿宋" w:hAnsi="仿宋" w:eastAsia="仿宋"/>
          <w:sz w:val="32"/>
          <w:szCs w:val="32"/>
        </w:rPr>
        <w:t>日前完成线上平台学习资源和本学期计划的参展参赛的信息进行汇总，结合课程教学实际，利用微信及微信教学群，指导、推送给学生供自主学习。各班教师于超星</w:t>
      </w:r>
      <w:r>
        <w:rPr>
          <w:rFonts w:hint="eastAsia" w:ascii="仿宋" w:hAnsi="仿宋" w:eastAsia="仿宋"/>
          <w:sz w:val="32"/>
          <w:szCs w:val="32"/>
          <w:lang w:val="en-US" w:eastAsia="zh-CN"/>
        </w:rPr>
        <w:t>泛雅</w:t>
      </w:r>
      <w:r>
        <w:rPr>
          <w:rFonts w:hint="eastAsia" w:ascii="仿宋" w:hAnsi="仿宋" w:eastAsia="仿宋"/>
          <w:sz w:val="32"/>
          <w:szCs w:val="32"/>
        </w:rPr>
        <w:t>直播平台，对自主学习方法加以指导，提高学习实效。</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同时，授课教师根据各班学习进度课程内容、课程要求、习题、线上/线下实践作业、案例资源、参考书籍（PDF电子教参）等内容，实时发布在QQ群、微信群；在教学过程中通过多种形式答疑、互动讨论，在教学过程中通过QQ群、微信群随堂作业以及在线测试的方式即时获得学生反馈，并随时调整教学计划，定期、及时更新教学内容和资料。</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4.线上课程相关理论教学</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线上教学单次课程的在线授课时长占比须≥</w:t>
      </w:r>
      <w:r>
        <w:rPr>
          <w:rFonts w:ascii="仿宋" w:hAnsi="仿宋" w:eastAsia="仿宋"/>
          <w:sz w:val="32"/>
          <w:szCs w:val="32"/>
        </w:rPr>
        <w:t>50%</w:t>
      </w:r>
      <w:r>
        <w:rPr>
          <w:rFonts w:hint="eastAsia" w:ascii="仿宋" w:hAnsi="仿宋" w:eastAsia="仿宋"/>
          <w:sz w:val="32"/>
          <w:szCs w:val="32"/>
        </w:rPr>
        <w:t>单节课总时长。理论讲授内容须切合实训项目内容所需，行业迭代的专业知识点要讲解具体，辅助案例分析透彻。结合课程内容对应所讲环节，采取“PPT+音频”直播的方式，逐页展示教学</w:t>
      </w:r>
      <w:r>
        <w:rPr>
          <w:rFonts w:ascii="仿宋" w:hAnsi="仿宋" w:eastAsia="仿宋"/>
          <w:sz w:val="32"/>
          <w:szCs w:val="32"/>
        </w:rPr>
        <w:t>PPT</w:t>
      </w:r>
      <w:r>
        <w:rPr>
          <w:rFonts w:hint="eastAsia" w:ascii="仿宋" w:hAnsi="仿宋" w:eastAsia="仿宋"/>
          <w:sz w:val="32"/>
          <w:szCs w:val="32"/>
        </w:rPr>
        <w:t>，进行课程核心内容及重难点的讲解，并通过“分享屏幕”及“PPT直播”功能的实时切换，延展相应专业理论知识。重要知识点通过线上“白板演示”展示，便于学生明确提纲及相关知识点并做好学习笔记。</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5.线上作业与音视频互动辅导</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该课程要求留给学生适量独立思考完成的作业，线上布置作业以视觉设计为主，包括</w:t>
      </w:r>
      <w:r>
        <w:rPr>
          <w:rFonts w:hint="eastAsia" w:ascii="仿宋" w:hAnsi="仿宋" w:eastAsia="仿宋"/>
          <w:sz w:val="32"/>
          <w:szCs w:val="32"/>
          <w:lang w:val="en-US" w:eastAsia="zh-CN"/>
        </w:rPr>
        <w:t>UI</w:t>
      </w:r>
      <w:r>
        <w:rPr>
          <w:rFonts w:hint="eastAsia" w:ascii="仿宋" w:hAnsi="仿宋" w:eastAsia="仿宋"/>
          <w:sz w:val="32"/>
          <w:szCs w:val="32"/>
        </w:rPr>
        <w:t>设计、</w:t>
      </w:r>
      <w:r>
        <w:rPr>
          <w:rFonts w:hint="eastAsia" w:ascii="仿宋" w:hAnsi="仿宋" w:eastAsia="仿宋"/>
          <w:sz w:val="32"/>
          <w:szCs w:val="32"/>
          <w:lang w:val="en-US" w:eastAsia="zh-CN"/>
        </w:rPr>
        <w:t>网页</w:t>
      </w:r>
      <w:r>
        <w:rPr>
          <w:rFonts w:hint="eastAsia" w:ascii="仿宋" w:hAnsi="仿宋" w:eastAsia="仿宋"/>
          <w:sz w:val="32"/>
          <w:szCs w:val="32"/>
        </w:rPr>
        <w:t>设计等，开展师生互动研讨。学生在进行相应学习活动之后，在线提交作业（有时效限制的线上作业），并阐述创作设计思路观点。教师通过线上查看学生的作业，即时了解学生对教学内容的掌握程度，检验教与学的预期效果，并有针对性的就共性问题进行线上集中讲解答疑。</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线上作业留存规则：</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（1）线上作业设计不局限于对知识点的考查，重在考查学生解决实际问题的能力。</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2）课堂实践创作须在课堂在线指导的状态下按时完成，同时讲解与答疑分开进行：课堂前半部分集中讲解，后半部分答疑与实践并行。实践任务要明确任务、形式、数量、软件及创作时限要求，教师甄选代表性的学生实践成果在线进行点评。</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（3）教师线上布置作业，学生通过文字、音频、图片等方式提交作业。学生完成后，教师在线评阅作业并发表评价。</w:t>
      </w:r>
    </w:p>
    <w:p>
      <w:pPr>
        <w:widowControl/>
        <w:shd w:val="clear" w:color="auto" w:fill="FFFFFF"/>
        <w:spacing w:line="300" w:lineRule="auto"/>
        <w:ind w:firstLine="800" w:firstLineChars="250"/>
        <w:jc w:val="left"/>
        <w:rPr>
          <w:rFonts w:ascii="仿宋" w:hAnsi="仿宋" w:eastAsia="仿宋"/>
          <w:sz w:val="32"/>
          <w:szCs w:val="32"/>
        </w:rPr>
      </w:pPr>
      <w:r>
        <w:rPr>
          <w:rFonts w:hint="eastAsia" w:ascii="仿宋" w:hAnsi="仿宋" w:eastAsia="仿宋"/>
          <w:sz w:val="32"/>
          <w:szCs w:val="32"/>
        </w:rPr>
        <w:t>6.加强师生互动研讨与教学过程监督</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（1）在线学习过程监控：线上教学监管及学生在线情况须贯穿整个教学过程。主讲教师利用超星</w:t>
      </w:r>
      <w:r>
        <w:rPr>
          <w:rFonts w:hint="eastAsia" w:ascii="仿宋" w:hAnsi="仿宋" w:eastAsia="仿宋"/>
          <w:sz w:val="32"/>
          <w:szCs w:val="32"/>
          <w:lang w:val="en-US" w:eastAsia="zh-CN"/>
        </w:rPr>
        <w:t>泛雅平台</w:t>
      </w:r>
      <w:r>
        <w:rPr>
          <w:rFonts w:hint="eastAsia" w:ascii="仿宋" w:hAnsi="仿宋" w:eastAsia="仿宋"/>
          <w:sz w:val="32"/>
          <w:szCs w:val="32"/>
        </w:rPr>
        <w:t>应用“签到”功能，按规定上课时间于课前</w:t>
      </w:r>
      <w:r>
        <w:rPr>
          <w:rFonts w:ascii="仿宋" w:hAnsi="仿宋" w:eastAsia="仿宋"/>
          <w:sz w:val="32"/>
          <w:szCs w:val="32"/>
        </w:rPr>
        <w:t>10</w:t>
      </w:r>
      <w:r>
        <w:rPr>
          <w:rFonts w:hint="eastAsia" w:ascii="仿宋" w:hAnsi="仿宋" w:eastAsia="仿宋"/>
          <w:sz w:val="32"/>
          <w:szCs w:val="32"/>
        </w:rPr>
        <w:t>分钟、课中及结课前分阶段即刻签到，并结合课堂随机点名的方式，合理设置互动环节，实时掌控学生线上学习的在线情况，学生在线情况作为在线考核的重要依据。教师留存每节课的授课截图及聊天记录作为线上教学管理的佐证依据。</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（2）利用超星泛雅（学习通）平台或QQ班级群，线上布置作业或答题，设置学生线上提交作业以及答题时间，每次线上作业的提交以及答题人数统计作为在线监控依据。</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3）把师生在线互动交流纳入教学监督。要求每班每节课线上教学互动不少于2次，并以“随机抽取”的方式，实现师生间、学生间同步交互，每次教学互动随机抽取学生数须≥30-40%，防止学生打开视频直播学习界面后做其他无关事情，给教师反馈学生在线信息，以实现在线学习全过程监控。</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4）打造线上教学“第二课堂”。教师在完成班级网络教学规定任务的基础上，每班每周至少开展1次师生线上教学专题讨论，针对教学重难点开展辅导课堂教学，教师针对课程学习中出现的典型问题、不足及其他相关问题，考虑解决、更新和完善，拓展师生“网上教学”时间。</w:t>
      </w:r>
    </w:p>
    <w:p>
      <w:pPr>
        <w:widowControl/>
        <w:shd w:val="clear" w:color="auto" w:fill="FFFFFF"/>
        <w:spacing w:line="300" w:lineRule="auto"/>
        <w:ind w:firstLine="643" w:firstLineChars="200"/>
        <w:jc w:val="left"/>
        <w:rPr>
          <w:rFonts w:ascii="黑体" w:hAnsi="黑体" w:eastAsia="黑体"/>
          <w:b/>
          <w:sz w:val="32"/>
          <w:szCs w:val="32"/>
        </w:rPr>
      </w:pPr>
      <w:r>
        <w:rPr>
          <w:rFonts w:hint="eastAsia" w:ascii="黑体" w:hAnsi="黑体" w:eastAsia="黑体"/>
          <w:b/>
          <w:sz w:val="32"/>
          <w:szCs w:val="32"/>
        </w:rPr>
        <w:t>二、线上教学保障</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1.授课教师充分做好上课准备工作。要在2月1</w:t>
      </w:r>
      <w:r>
        <w:rPr>
          <w:rFonts w:hint="eastAsia" w:ascii="仿宋" w:hAnsi="仿宋" w:eastAsia="仿宋"/>
          <w:sz w:val="32"/>
          <w:szCs w:val="32"/>
          <w:lang w:val="en-US" w:eastAsia="zh-CN"/>
        </w:rPr>
        <w:t>6</w:t>
      </w:r>
      <w:r>
        <w:rPr>
          <w:rFonts w:hint="eastAsia" w:ascii="仿宋" w:hAnsi="仿宋" w:eastAsia="仿宋"/>
          <w:sz w:val="32"/>
          <w:szCs w:val="32"/>
        </w:rPr>
        <w:t>日前选择网络教学平台并完成教学设计，同时完成课程相关教学资源的搜集，并制作好课程相关视频、音频、PPT、PDF电子教材、课前预习要求、课后实践作业、课程过程性考核要求等相关教学资料，并于2月1</w:t>
      </w:r>
      <w:r>
        <w:rPr>
          <w:rFonts w:hint="eastAsia" w:ascii="仿宋" w:hAnsi="仿宋" w:eastAsia="仿宋"/>
          <w:sz w:val="32"/>
          <w:szCs w:val="32"/>
          <w:lang w:val="en-US" w:eastAsia="zh-CN"/>
        </w:rPr>
        <w:t>6</w:t>
      </w:r>
      <w:r>
        <w:rPr>
          <w:rFonts w:hint="eastAsia" w:ascii="仿宋" w:hAnsi="仿宋" w:eastAsia="仿宋"/>
          <w:sz w:val="32"/>
          <w:szCs w:val="32"/>
        </w:rPr>
        <w:t>日前交由部门审核，并作为教师考核与评价的重要内容和依据。同时，开课前课程组每周组织开展1-2次关于网络教学的操作与管理方法的指导与研讨，保证教师能够熟练掌握网络教学工具与平台使用。</w:t>
      </w:r>
    </w:p>
    <w:p>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教师按周教学设计通过学习通、微信群发布学生优质慕课自主学习任务清单。学生自主学习以观看教学视频、阅读电子教材、阅读ppt课件等内容为主，侧重基础知识的学习。任课教师在线教学采用学习通、腾讯会议软件，通过直播、同步课堂等形式开展。任课教师通过在线测试、在此基础上通过重难点讲述、案例分析、在线讨论、作业点评、设计专题等实现知识点的延伸和应用的深化。通过使用学习通签到、投票、选人、抢答、主题讨论、测验、分组任务等功能，加强课堂管理与教生互动。学习通签到和互动形成课程数据计入成绩。利用微信、QQ等社交软件加强辅导答疑，及时收集学生教学反馈。</w:t>
      </w:r>
    </w:p>
    <w:p>
      <w:pPr>
        <w:widowControl/>
        <w:shd w:val="clear" w:color="auto" w:fill="FFFFFF"/>
        <w:spacing w:line="300" w:lineRule="auto"/>
        <w:ind w:firstLine="640" w:firstLineChars="200"/>
        <w:jc w:val="left"/>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为保证在线教学秩序，避免课程冲突，各工作室开展网络教学按照系统课表时间进行线上教学。线上督促每名学生在教学各环节中及时完成相应的学习任务，并做好考核，保证教学进度和效果，具体考核办法由各工作室负责人自行拟定并根据班级实际教学需要进行调整。</w:t>
      </w:r>
    </w:p>
    <w:p>
      <w:pPr>
        <w:ind w:firstLine="640" w:firstLineChars="200"/>
      </w:pPr>
      <w:r>
        <w:rPr>
          <w:rFonts w:hint="eastAsia" w:ascii="仿宋" w:hAnsi="仿宋" w:eastAsia="仿宋"/>
          <w:sz w:val="32"/>
          <w:szCs w:val="32"/>
        </w:rPr>
        <w:t>4.以课程负责人牵头发挥二级督导作用，对教师网络教学加强教学质量监督，以周为单位填报《设计学院线上教学质量监控记录表》并存档，对未按规定开展线上授课的教师，经调查核实后予以相应的教学事故处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97B3A"/>
    <w:multiLevelType w:val="multilevel"/>
    <w:tmpl w:val="2DE97B3A"/>
    <w:lvl w:ilvl="0" w:tentative="0">
      <w:start w:val="1"/>
      <w:numFmt w:val="decimal"/>
      <w:lvlText w:val="%1."/>
      <w:lvlJc w:val="left"/>
      <w:pPr>
        <w:ind w:left="360" w:hanging="36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DF1F98"/>
    <w:rsid w:val="000D1ECC"/>
    <w:rsid w:val="000F5C83"/>
    <w:rsid w:val="001970B4"/>
    <w:rsid w:val="001F7F99"/>
    <w:rsid w:val="002C0B92"/>
    <w:rsid w:val="00357104"/>
    <w:rsid w:val="00414DB3"/>
    <w:rsid w:val="004E31B3"/>
    <w:rsid w:val="00516586"/>
    <w:rsid w:val="0052311A"/>
    <w:rsid w:val="005D743F"/>
    <w:rsid w:val="0066158E"/>
    <w:rsid w:val="00683D42"/>
    <w:rsid w:val="006A153D"/>
    <w:rsid w:val="008B0853"/>
    <w:rsid w:val="008D0AAE"/>
    <w:rsid w:val="0091110E"/>
    <w:rsid w:val="009F682B"/>
    <w:rsid w:val="00B57F50"/>
    <w:rsid w:val="00B83207"/>
    <w:rsid w:val="00B93FAE"/>
    <w:rsid w:val="00C07C10"/>
    <w:rsid w:val="00C217EC"/>
    <w:rsid w:val="00C240AD"/>
    <w:rsid w:val="00C53DE5"/>
    <w:rsid w:val="00ED7432"/>
    <w:rsid w:val="00F8750D"/>
    <w:rsid w:val="03500319"/>
    <w:rsid w:val="05C744C6"/>
    <w:rsid w:val="0B0918F9"/>
    <w:rsid w:val="129F5E0F"/>
    <w:rsid w:val="3C8A5A2F"/>
    <w:rsid w:val="57C85DE2"/>
    <w:rsid w:val="58D45793"/>
    <w:rsid w:val="5E263472"/>
    <w:rsid w:val="65BE0365"/>
    <w:rsid w:val="6EE2594B"/>
    <w:rsid w:val="7BF92986"/>
    <w:rsid w:val="7DDF1F98"/>
    <w:rsid w:val="7FAD3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837281-C0AD-4F15-B674-45AC0DFE517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495</Words>
  <Characters>2822</Characters>
  <Lines>23</Lines>
  <Paragraphs>6</Paragraphs>
  <TotalTime>0</TotalTime>
  <ScaleCrop>false</ScaleCrop>
  <LinksUpToDate>false</LinksUpToDate>
  <CharactersWithSpaces>3311</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2020-02-16T00:47:00Z</dcterms:created>
  <dc:creator>旬恂</dc:creator>
  <cp:lastModifiedBy>DELL</cp:lastModifiedBy>
  <dcterms:modified xsi:type="dcterms:W3CDTF">2020-02-27T05:57:27Z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